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93" w:rsidRPr="00727E93" w:rsidRDefault="00727E93" w:rsidP="00727E93">
      <w:bookmarkStart w:id="0" w:name="_GoBack"/>
      <w:bookmarkEnd w:id="0"/>
      <w:r w:rsidRPr="00727E93">
        <w:t>Des programme de réhabilitation de la biodiversité en exploitant le savoir-faire local soutenu par la recherche  ainsi que par l'autonomisation de la femme oasienne et les jeunes, intégrant de nouvelles voies de valorisation des produits et sous-produits oasiens grâce aux nouvelles biotechnologies (extraction des huiles essentielles, valorisation des sous-produits de plantes naturelles, etc..) sont un exemple de cas de réussite de gestion participative des ressources naturelles dans les agrosystèmes oasiens. Des exemples de ces projets existent dans tous les pays oasiens (notamment en Nord Afrique) conduits par des associations de la société civile.</w:t>
      </w:r>
    </w:p>
    <w:p w:rsidR="008909E1" w:rsidRDefault="008909E1"/>
    <w:sectPr w:rsidR="0089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93"/>
    <w:rsid w:val="00727E93"/>
    <w:rsid w:val="008909E1"/>
    <w:rsid w:val="00CC2CC6"/>
    <w:rsid w:val="00E84F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51238-3299-44B4-A25D-3311CC4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558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2021-08-19T19:49:00Z</dcterms:created>
  <dcterms:modified xsi:type="dcterms:W3CDTF">2021-08-19T20:07:00Z</dcterms:modified>
</cp:coreProperties>
</file>